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“LUTY MARTIN SEBASTIAN S/ LIBERTAD CONDICIONAL"</w:t>
      </w:r>
    </w:p>
    <w:p w:rsidR="00C40D62" w:rsidRDefault="00C40D62" w:rsidP="00C40D62">
      <w:pPr>
        <w:spacing w:line="100" w:lineRule="atLeast"/>
        <w:jc w:val="both"/>
        <w:rPr>
          <w:rFonts w:eastAsia="Calibri" w:cs="Calibri"/>
          <w:color w:val="auto"/>
          <w:lang w:val="es-AR" w:eastAsia="ar-SA" w:bidi="ar-SA"/>
        </w:rPr>
      </w:pP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EXCMO. TRIBUNAL:</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JORGE AMILCAR LUCIANO GARCIA, Procurador General, contestando la vista conferida,a V.E. digo:</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I.- De lo actuado surge que el penado Luty ha satisfecho el recaudo temporal exigido por la norma penal sustantiva y ha observado los reglamentos carcelarios, art.13 CP.-</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No obsta a dicha conclusión las sanciones disciplinarias que registra, toda vez que son de vieja data - casi diez años la última-, por lo que no pueden seguir teniéndose en cuenta como razón denegatoria pues ello sería contradictorio con su mejoría. Desde entonces mantiene conducta y concepto ejemplar, se halla en régimen de semi libertad por salidas socio laborales, (confr. fs. 1083 del expte. agregado por cuerda), lo que justifica el Informe Favorable del Consejo Correccional (fs. 3/4vta.).-</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El instituto de la libertad condicional es un modo de cumplimiento de la última etapa de la pena, fundada en criterios preventivo-especiales, es decir evitar la desocialización del sujeto, por lo que su obtención es un derecho para quien se halla en las condiciones legales y un deber judicial su procedencia.-</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Lo contrario, amén de ir de contramano con las comprobaciones científicas de la sociología criminal sobre los efectos deletéreos del encierro, confundirían el instituto con la "gracia" que preveía el Código de Baviera elaborado por Feuerbach y que Tejedor tomara como modelo.-</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El mismo Kant morigeraba el rigor draconiano de su pena talional, como "fin en sí" por el quebranto del imperativo categórico, con la "gracia" del soberano. Obvio es señalar que estas posturas ya no son compatibles con el objetivo constitucional de readaptación social de la ejecución de la pena privativa de libertad y la libertad condicional como parte de dicho mandato (confr.por todos, Zaffaroni, reiterando su postura del T.V del Tratado, en Der.Penal, pag.915; sobre la "gracia" en Kant, su "Metafísica de las Costumbres", trad. de A.Cortina Orts, ed.tecnos).-</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II.- En lo que respecta al informe de la Actuaria de fs. 20, que da cuenta que el ilícito que motivó la condena unificada que actualmente cumple Luty (confr. fs. 218/227 del expte. de Ejecución), fue cometido después de su primer condena, lo que lo colocaría en una situación de Reincidencia, ésta amén de su definición normativa, debe declararse en juicio en base a la discusión de su facticidad, con acusación y defensa, lo que no ha acaecido en el presente caso.-</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Ello sin perjuicio de mi opinión desde antaño, sobre lo que entiendo incompatibilidad del art. 14 CP en la restricción objetiva a la libertad condicional a los reincidentes, con el principio de culpabilidad y de "non bis in idem" (confr.por todos los comentarios "La multirreincidencia calificada del art.52 CP a la luz de la ley 23057"; idem."La libertad Condicional y la Reincidencia", en JER, nº6 y 8;idem. en JA, 1984 III y IV ).-</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En términos simples, un derecho penal de acto y culpabilidad como el nuestro, rechaza consecuencias agravantes fijas para una segunda punición provenientes de una condena anterior ya sufrida, pues la culpabilidad del sujeto se tuvo en cuenta para la pena anterior que se agotó. Restringir de modo automático el derecho a cumplir la última parte de la segunda pena en libertad - con los demás requisitos y rstricciones del art. 13 CP significa revivir aquella sanción y tornarla operativa en la ulterior.-</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 xml:space="preserve">Así entonces lo atinente al llamado régimen progresivo de </w:t>
      </w:r>
      <w:r>
        <w:rPr>
          <w:rFonts w:eastAsia="Calibri" w:cs="Calibri"/>
          <w:color w:val="auto"/>
          <w:lang w:val="es-AR" w:eastAsia="ar-SA" w:bidi="ar-SA"/>
        </w:rPr>
        <w:lastRenderedPageBreak/>
        <w:t xml:space="preserve">la pena y las alternativas al encierro, deben ser cuestiones a fundamentar en el propio marco de la ejecución, sin obstáculos de otra penas ya cumplidas, ni menos a referencias peligrosistas.-. </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 xml:space="preserve">Ello no puede justificarse con las conocidas fórmulas de la advertencia o el desprecio por la anterior condena (tesis empleadas por el BGH para la derogada Reincidencia del código alemán, ni por la de la "doble norma transgredida", de Armin Kaufmann). Así exhaustivamente lo han demostrado entre nosotros Zaffaroni, Patricia Ziffer o Magariños. (confr. Zaffaroni, E., Der. Penal, pag. 1008 y sig. ed. ediar; Ziffer, P. en CDJP ed.ad hoc, año III, Nº 7, pag. 105 y sig.; idem.Magariños,M. en el mismo tomo, pag. 87 y sig.) </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Coadyuva a lo apuntado el criterio de nuestra CSJN en el fallo "Gramajo" de septiembre de 2006 que declaró la Inconstitucionalidad de la multirreincidencia del art. 52 CP por vulnerar los principios de legalidad y culpabilidad, es decir por los mismos argumentos esgrimidos "supra", como asimismo con el llamado "Proyecto Integral de Reformas al Código Penal", Res. MJDH Nº 393/04 y 136/05 que se halla en tratamiento legistativo, que deroga el instituto de la reincidencia.-</w:t>
      </w:r>
    </w:p>
    <w:p w:rsidR="00C40D62" w:rsidRDefault="00C40D62" w:rsidP="00C40D62">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III.- Por lo expuesto, soy de opinión que debe accederse al beneficio impetrado en autos.</w:t>
      </w:r>
    </w:p>
    <w:p w:rsidR="00C40D62" w:rsidRDefault="00C40D62" w:rsidP="00C40D62">
      <w:pPr>
        <w:spacing w:line="100" w:lineRule="atLeast"/>
        <w:jc w:val="both"/>
        <w:rPr>
          <w:rFonts w:eastAsia="Arial" w:cs="Arial"/>
          <w:i/>
          <w:iCs/>
          <w:color w:val="auto"/>
          <w:lang w:val="es-AR" w:eastAsia="ar-SA" w:bidi="ar-SA"/>
        </w:rPr>
      </w:pPr>
      <w:r>
        <w:rPr>
          <w:rFonts w:eastAsia="Arial" w:cs="Arial"/>
          <w:i/>
          <w:iCs/>
          <w:color w:val="auto"/>
          <w:lang w:val="es-AR" w:eastAsia="ar-SA" w:bidi="ar-SA"/>
        </w:rPr>
        <w:tab/>
      </w:r>
      <w:r>
        <w:rPr>
          <w:rFonts w:eastAsia="Arial" w:cs="Arial"/>
          <w:i/>
          <w:iCs/>
          <w:color w:val="auto"/>
          <w:lang w:val="es-AR" w:eastAsia="ar-SA" w:bidi="ar-SA"/>
        </w:rPr>
        <w:tab/>
        <w:t>PROCURACION GENERAL, 29 de febrero de 2008.-</w:t>
      </w:r>
    </w:p>
    <w:p w:rsidR="000E3F70" w:rsidRDefault="000E3F70">
      <w:bookmarkStart w:id="0" w:name="_GoBack"/>
      <w:bookmarkEnd w:id="0"/>
    </w:p>
    <w:sectPr w:rsidR="000E3F70" w:rsidSect="00650ED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62"/>
    <w:rsid w:val="000E3F70"/>
    <w:rsid w:val="00650EDC"/>
    <w:rsid w:val="00C40D6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A2AC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62"/>
    <w:pPr>
      <w:widowControl w:val="0"/>
      <w:suppressAutoHyphens/>
    </w:pPr>
    <w:rPr>
      <w:rFonts w:ascii="Times New Roman" w:eastAsia="Lucida Sans Unicode" w:hAnsi="Times New Roman" w:cs="Tahoma"/>
      <w:color w:val="000000"/>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62"/>
    <w:pPr>
      <w:widowControl w:val="0"/>
      <w:suppressAutoHyphens/>
    </w:pPr>
    <w:rPr>
      <w:rFonts w:ascii="Times New Roman" w:eastAsia="Lucida Sans Unicode" w:hAnsi="Times New Roman" w:cs="Tahoma"/>
      <w:color w:val="000000"/>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4091</Characters>
  <Application>Microsoft Macintosh Word</Application>
  <DocSecurity>0</DocSecurity>
  <Lines>34</Lines>
  <Paragraphs>9</Paragraphs>
  <ScaleCrop>false</ScaleCrop>
  <Company>Pensamiento Penal</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 Juliano</dc:creator>
  <cp:keywords/>
  <dc:description/>
  <cp:lastModifiedBy>Mario Alberto Juliano</cp:lastModifiedBy>
  <cp:revision>1</cp:revision>
  <dcterms:created xsi:type="dcterms:W3CDTF">2012-02-09T01:55:00Z</dcterms:created>
  <dcterms:modified xsi:type="dcterms:W3CDTF">2012-02-09T01:56:00Z</dcterms:modified>
</cp:coreProperties>
</file>